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157F" w14:textId="77777777" w:rsidR="00A76E44" w:rsidRPr="008E680A" w:rsidRDefault="00000000">
      <w:pPr>
        <w:pStyle w:val="Heading1"/>
        <w:rPr>
          <w:color w:val="00AB3F"/>
        </w:rPr>
      </w:pPr>
      <w:r w:rsidRPr="008E680A">
        <w:rPr>
          <w:color w:val="00AB3F"/>
        </w:rPr>
        <w:t>Compliance Training Self-Audit Checklist</w:t>
      </w:r>
    </w:p>
    <w:p w14:paraId="5F3492A2" w14:textId="77777777" w:rsidR="00A76E44" w:rsidRDefault="00000000">
      <w:pPr>
        <w:spacing w:after="320"/>
      </w:pPr>
      <w:r>
        <w:rPr>
          <w:color w:val="444444"/>
          <w:sz w:val="20"/>
          <w:szCs w:val="20"/>
        </w:rPr>
        <w:t xml:space="preserve">Use this checklist to identify compliance gaps, audit your current training, and confirm your recordkeeping is </w:t>
      </w:r>
      <w:proofErr w:type="gramStart"/>
      <w:r>
        <w:rPr>
          <w:color w:val="444444"/>
          <w:sz w:val="20"/>
          <w:szCs w:val="20"/>
        </w:rPr>
        <w:t>audit-ready</w:t>
      </w:r>
      <w:proofErr w:type="gramEnd"/>
      <w:r>
        <w:rPr>
          <w:color w:val="444444"/>
          <w:sz w:val="20"/>
          <w:szCs w:val="20"/>
        </w:rPr>
        <w:t>. Check off each item as you complete it.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76E44" w14:paraId="307B66B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FDECE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EA4776" w14:textId="77777777" w:rsidR="00A76E44" w:rsidRDefault="00000000">
            <w:r>
              <w:rPr>
                <w:b/>
                <w:bCs/>
                <w:color w:val="C0392B"/>
                <w:sz w:val="18"/>
                <w:szCs w:val="18"/>
              </w:rPr>
              <w:t xml:space="preserve">DO </w:t>
            </w:r>
            <w:proofErr w:type="gramStart"/>
            <w:r>
              <w:rPr>
                <w:b/>
                <w:bCs/>
                <w:color w:val="C0392B"/>
                <w:sz w:val="18"/>
                <w:szCs w:val="18"/>
              </w:rPr>
              <w:t>FIRST  —</w:t>
            </w:r>
            <w:proofErr w:type="gramEnd"/>
            <w:r>
              <w:rPr>
                <w:b/>
                <w:bCs/>
                <w:color w:val="C0392B"/>
                <w:sz w:val="18"/>
                <w:szCs w:val="18"/>
              </w:rPr>
              <w:t xml:space="preserve">  highest legal risk</w:t>
            </w:r>
          </w:p>
        </w:tc>
        <w:tc>
          <w:tcPr>
            <w:tcW w:w="3120" w:type="dxa"/>
            <w:shd w:val="clear" w:color="auto" w:fill="FEF6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4684F" w14:textId="77777777" w:rsidR="00A76E44" w:rsidRDefault="00000000">
            <w:r>
              <w:rPr>
                <w:b/>
                <w:bCs/>
                <w:color w:val="B7770D"/>
                <w:sz w:val="18"/>
                <w:szCs w:val="18"/>
              </w:rPr>
              <w:t xml:space="preserve">THIS </w:t>
            </w:r>
            <w:proofErr w:type="gramStart"/>
            <w:r>
              <w:rPr>
                <w:b/>
                <w:bCs/>
                <w:color w:val="B7770D"/>
                <w:sz w:val="18"/>
                <w:szCs w:val="18"/>
              </w:rPr>
              <w:t>QUARTER  —</w:t>
            </w:r>
            <w:proofErr w:type="gramEnd"/>
            <w:r>
              <w:rPr>
                <w:b/>
                <w:bCs/>
                <w:color w:val="B7770D"/>
                <w:sz w:val="18"/>
                <w:szCs w:val="18"/>
              </w:rPr>
              <w:t xml:space="preserve">  address soon</w:t>
            </w:r>
          </w:p>
        </w:tc>
        <w:tc>
          <w:tcPr>
            <w:tcW w:w="3120" w:type="dxa"/>
            <w:shd w:val="clear" w:color="auto" w:fill="E8F0F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E29504" w14:textId="77777777" w:rsidR="00A76E44" w:rsidRDefault="00000000">
            <w:proofErr w:type="gramStart"/>
            <w:r>
              <w:rPr>
                <w:b/>
                <w:bCs/>
                <w:color w:val="2C5FA8"/>
                <w:sz w:val="18"/>
                <w:szCs w:val="18"/>
              </w:rPr>
              <w:t>ONGOING  —</w:t>
            </w:r>
            <w:proofErr w:type="gramEnd"/>
            <w:r>
              <w:rPr>
                <w:b/>
                <w:bCs/>
                <w:color w:val="2C5FA8"/>
                <w:sz w:val="18"/>
                <w:szCs w:val="18"/>
              </w:rPr>
              <w:t xml:space="preserve">  recurring</w:t>
            </w:r>
          </w:p>
        </w:tc>
      </w:tr>
    </w:tbl>
    <w:p w14:paraId="0921218D" w14:textId="77777777" w:rsidR="00A76E44" w:rsidRDefault="00000000">
      <w:pPr>
        <w:pBdr>
          <w:bottom w:val="single" w:sz="4" w:space="0" w:color="CCCCCC"/>
        </w:pBdr>
        <w:spacing w:before="320" w:after="100"/>
      </w:pPr>
      <w:r>
        <w:rPr>
          <w:b/>
          <w:bCs/>
          <w:color w:val="999999"/>
          <w:sz w:val="18"/>
          <w:szCs w:val="18"/>
        </w:rPr>
        <w:t>KNOW YOUR EXPOSURE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689"/>
        <w:gridCol w:w="1254"/>
      </w:tblGrid>
      <w:tr w:rsidR="00A76E44" w14:paraId="4E1015A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0DD3C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43DC9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List every state where employees physically work</w:t>
            </w:r>
          </w:p>
          <w:p w14:paraId="66C30C94" w14:textId="77777777" w:rsidR="00A76E44" w:rsidRDefault="00000000">
            <w:pPr>
              <w:spacing w:after="20"/>
            </w:pPr>
            <w:proofErr w:type="gramStart"/>
            <w:r>
              <w:rPr>
                <w:i/>
                <w:iCs/>
                <w:color w:val="666666"/>
                <w:sz w:val="17"/>
                <w:szCs w:val="17"/>
              </w:rPr>
              <w:t>Include</w:t>
            </w:r>
            <w:proofErr w:type="gramEnd"/>
            <w:r>
              <w:rPr>
                <w:i/>
                <w:iCs/>
                <w:color w:val="666666"/>
                <w:sz w:val="17"/>
                <w:szCs w:val="17"/>
              </w:rPr>
              <w:t xml:space="preserve"> remote workers — compliance follows the employee's location, not HQ.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C66B52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6406C20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BCB4F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538A82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Identify your primary industry classification</w:t>
            </w:r>
          </w:p>
          <w:p w14:paraId="5AF5A43F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Healthcare, Construction, Hospitality, Education/Childcare, Retail, and Corporate/Office each carry distinct mandates.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AAEB04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156701B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4E94FB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6467C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Note your employee count per state</w:t>
            </w:r>
          </w:p>
          <w:p w14:paraId="2ABAF311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Many mandates only kick in at 3, 15, or 50+ employees — size changes everything.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0B9BDB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</w:tbl>
    <w:p w14:paraId="2BBAA00E" w14:textId="77777777" w:rsidR="00A76E44" w:rsidRDefault="00000000">
      <w:pPr>
        <w:pBdr>
          <w:bottom w:val="single" w:sz="4" w:space="0" w:color="CCCCCC"/>
        </w:pBdr>
        <w:spacing w:before="320" w:after="100"/>
      </w:pPr>
      <w:r>
        <w:rPr>
          <w:b/>
          <w:bCs/>
          <w:color w:val="999999"/>
          <w:sz w:val="18"/>
          <w:szCs w:val="18"/>
        </w:rPr>
        <w:t>AUDIT CURRENT TRAINING — ALL INDUSTRIES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689"/>
        <w:gridCol w:w="1254"/>
      </w:tblGrid>
      <w:tr w:rsidR="00A76E44" w14:paraId="6B43EB5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9AFE3F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88377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Pull completion records for harassment prevention training</w:t>
            </w:r>
          </w:p>
          <w:p w14:paraId="21783823" w14:textId="77777777" w:rsidR="00A76E44" w:rsidRDefault="00000000">
            <w:pPr>
              <w:spacing w:after="20"/>
            </w:pPr>
            <w:proofErr w:type="gramStart"/>
            <w:r>
              <w:rPr>
                <w:i/>
                <w:iCs/>
                <w:color w:val="666666"/>
                <w:sz w:val="17"/>
                <w:szCs w:val="17"/>
              </w:rPr>
              <w:t>Applies</w:t>
            </w:r>
            <w:proofErr w:type="gramEnd"/>
            <w:r>
              <w:rPr>
                <w:i/>
                <w:iCs/>
                <w:color w:val="666666"/>
                <w:sz w:val="17"/>
                <w:szCs w:val="17"/>
              </w:rPr>
              <w:t xml:space="preserve"> to every industry. Supervisors and non-supervisors must be tracked separately.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0E4A45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1EA28E9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A8643D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1A46EA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Verify training frequency matches state requirements</w:t>
            </w:r>
          </w:p>
          <w:p w14:paraId="451F2ED0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Annual vs. biennial vs. within 6 months of hire — these vary by state and role.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53B70F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  <w:tr w:rsidR="00A76E44" w14:paraId="34B5B8A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453662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442D49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 xml:space="preserve">Confirm online training is </w:t>
            </w:r>
            <w:proofErr w:type="gramStart"/>
            <w:r>
              <w:rPr>
                <w:color w:val="1A1A1A"/>
                <w:sz w:val="20"/>
                <w:szCs w:val="20"/>
              </w:rPr>
              <w:t>state-approved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where required</w:t>
            </w:r>
          </w:p>
          <w:p w14:paraId="298A21A3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Some states require interactive components or approved providers. A recorded Zoom may not count.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393512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</w:tbl>
    <w:p w14:paraId="3A7897BC" w14:textId="77777777" w:rsidR="00A76E44" w:rsidRDefault="00000000">
      <w:pPr>
        <w:pBdr>
          <w:bottom w:val="single" w:sz="4" w:space="0" w:color="CCCCCC"/>
        </w:pBdr>
        <w:spacing w:before="320" w:after="100"/>
      </w:pPr>
      <w:r>
        <w:rPr>
          <w:b/>
          <w:bCs/>
          <w:color w:val="999999"/>
          <w:sz w:val="18"/>
          <w:szCs w:val="18"/>
        </w:rPr>
        <w:t>AUDIT CURRENT TRAINING — BY INDUSTRY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689"/>
        <w:gridCol w:w="1254"/>
      </w:tblGrid>
      <w:tr w:rsidR="00A76E44" w14:paraId="5A63FBE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61D752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8E3E55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Healthcare: verify HIPAA + state privacy law training</w:t>
            </w:r>
          </w:p>
          <w:p w14:paraId="16F9F8AE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Some states also mandate elder abuse or patient rights training separately from HIPAA.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5EEBA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36DD687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C4D9AA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DF206E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 xml:space="preserve">Construction: </w:t>
            </w:r>
            <w:proofErr w:type="gramStart"/>
            <w:r>
              <w:rPr>
                <w:color w:val="1A1A1A"/>
                <w:sz w:val="20"/>
                <w:szCs w:val="20"/>
              </w:rPr>
              <w:t>confirm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OSHA state plan compliance</w:t>
            </w:r>
          </w:p>
          <w:p w14:paraId="04EBF55B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Online completion is permitted in some states but not others. Also verify licensing </w:t>
            </w:r>
            <w:proofErr w:type="gramStart"/>
            <w:r>
              <w:rPr>
                <w:i/>
                <w:iCs/>
                <w:color w:val="666666"/>
                <w:sz w:val="17"/>
                <w:szCs w:val="17"/>
              </w:rPr>
              <w:t>board</w:t>
            </w:r>
            <w:proofErr w:type="gramEnd"/>
            <w:r>
              <w:rPr>
                <w:i/>
                <w:iCs/>
                <w:color w:val="666666"/>
                <w:sz w:val="17"/>
                <w:szCs w:val="17"/>
              </w:rPr>
              <w:t xml:space="preserve"> requirements.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304BEB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  <w:tr w:rsidR="00A76E44" w14:paraId="11E8640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FE4F76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3B49B8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Hospitality &amp; food service: confirm alcohol server training is current</w:t>
            </w:r>
          </w:p>
          <w:p w14:paraId="0E87E83F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TABC (TX), TIPS, and </w:t>
            </w:r>
            <w:proofErr w:type="spellStart"/>
            <w:r>
              <w:rPr>
                <w:i/>
                <w:iCs/>
                <w:color w:val="666666"/>
                <w:sz w:val="17"/>
                <w:szCs w:val="17"/>
              </w:rPr>
              <w:t>ServSafe</w:t>
            </w:r>
            <w:proofErr w:type="spellEnd"/>
            <w:r>
              <w:rPr>
                <w:i/>
                <w:iCs/>
                <w:color w:val="666666"/>
                <w:sz w:val="17"/>
                <w:szCs w:val="17"/>
              </w:rPr>
              <w:t xml:space="preserve"> certifications have expiration dates. Customer-facing roles may need state-specific harassment training.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E5688B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  <w:tr w:rsidR="00A76E44" w14:paraId="6B74E57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33279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C40713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Education &amp; childcare: verify mandated reporter and licensing training</w:t>
            </w:r>
          </w:p>
          <w:p w14:paraId="385049CE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State childcare licensing boards set specific hour requirements. Mandated reporter training is often tracked separately.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C3EDF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3C45E95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93511A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B5B09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Retail: check workplace violence, wage/hour, and youth labor compliance</w:t>
            </w:r>
          </w:p>
          <w:p w14:paraId="07006D92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Youth labor rules (work permits, shift restrictions) are easy to miss. NY has a specific Retail Safety Worker Act.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7832E9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  <w:tr w:rsidR="00A76E44" w14:paraId="15F7A52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1485A4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57CDC6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Corporate/office: confirm cybersecurity awareness training where required</w:t>
            </w:r>
          </w:p>
          <w:p w14:paraId="227E2609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NY SHIELD Act and NYDFS apply to financial services. Check your state's data protection laws for emerging requirements.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85D98C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</w:tbl>
    <w:p w14:paraId="5886B196" w14:textId="77777777" w:rsidR="00A76E44" w:rsidRDefault="00000000">
      <w:pPr>
        <w:pBdr>
          <w:bottom w:val="single" w:sz="4" w:space="0" w:color="CCCCCC"/>
        </w:pBdr>
        <w:spacing w:before="320" w:after="100"/>
      </w:pPr>
      <w:r>
        <w:rPr>
          <w:b/>
          <w:bCs/>
          <w:color w:val="999999"/>
          <w:sz w:val="18"/>
          <w:szCs w:val="18"/>
        </w:rPr>
        <w:t>SYSTEMS &amp; RECORDKEEPING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689"/>
        <w:gridCol w:w="1254"/>
      </w:tblGrid>
      <w:tr w:rsidR="00A76E44" w14:paraId="04F1416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57B616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F147BA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Confirm certificates are stored and audit-ready</w:t>
            </w:r>
          </w:p>
          <w:p w14:paraId="78598D53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If a regulator asks tomorrow, could you produce records within an hour?</w:t>
            </w:r>
          </w:p>
        </w:tc>
        <w:tc>
          <w:tcPr>
            <w:tcW w:w="1200" w:type="dxa"/>
            <w:shd w:val="clear" w:color="auto" w:fill="FDECE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8F926E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Do first</w:t>
            </w:r>
          </w:p>
        </w:tc>
      </w:tr>
      <w:tr w:rsidR="00A76E44" w14:paraId="0B542CC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6601A7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lastRenderedPageBreak/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5A2E3A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Segment training tracking by employee work location</w:t>
            </w:r>
          </w:p>
          <w:p w14:paraId="58AC1048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 xml:space="preserve">One training program does not equal </w:t>
            </w:r>
            <w:proofErr w:type="gramStart"/>
            <w:r>
              <w:rPr>
                <w:i/>
                <w:iCs/>
                <w:color w:val="666666"/>
                <w:sz w:val="17"/>
                <w:szCs w:val="17"/>
              </w:rPr>
              <w:t>compliant</w:t>
            </w:r>
            <w:proofErr w:type="gramEnd"/>
            <w:r>
              <w:rPr>
                <w:i/>
                <w:iCs/>
                <w:color w:val="666666"/>
                <w:sz w:val="17"/>
                <w:szCs w:val="17"/>
              </w:rPr>
              <w:t xml:space="preserve"> everywhere. Records need to reflect who got what, where.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F97040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  <w:tr w:rsidR="00A76E44" w14:paraId="157E40B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46ACDA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6209E1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Set reminders for upcoming renewal deadlines</w:t>
            </w:r>
          </w:p>
          <w:p w14:paraId="2521B8AF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Add biennial and annual dates to your calendar now — don't wait for an audit.</w:t>
            </w:r>
          </w:p>
        </w:tc>
        <w:tc>
          <w:tcPr>
            <w:tcW w:w="1200" w:type="dxa"/>
            <w:shd w:val="clear" w:color="auto" w:fill="FEF6E4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6D10B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B7770D"/>
                <w:sz w:val="18"/>
                <w:szCs w:val="18"/>
              </w:rPr>
              <w:t>This quarter</w:t>
            </w:r>
          </w:p>
        </w:tc>
      </w:tr>
    </w:tbl>
    <w:p w14:paraId="27850B97" w14:textId="77777777" w:rsidR="00A76E44" w:rsidRDefault="00000000">
      <w:pPr>
        <w:pBdr>
          <w:bottom w:val="single" w:sz="4" w:space="0" w:color="CCCCCC"/>
        </w:pBdr>
        <w:spacing w:before="320" w:after="100"/>
      </w:pPr>
      <w:r>
        <w:rPr>
          <w:b/>
          <w:bCs/>
          <w:color w:val="999999"/>
          <w:sz w:val="18"/>
          <w:szCs w:val="18"/>
        </w:rPr>
        <w:t>ONGOING VIGILANCE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7689"/>
        <w:gridCol w:w="1254"/>
      </w:tblGrid>
      <w:tr w:rsidR="00A76E44" w14:paraId="62096E2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1A5D4C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7A045A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Subscribe to your state labor department's update list</w:t>
            </w:r>
          </w:p>
          <w:p w14:paraId="6005BF12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Regulations change. What was compliant last year may not be today.</w:t>
            </w:r>
          </w:p>
        </w:tc>
        <w:tc>
          <w:tcPr>
            <w:tcW w:w="1200" w:type="dxa"/>
            <w:shd w:val="clear" w:color="auto" w:fill="E8F0F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FEF3A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2C5FA8"/>
                <w:sz w:val="18"/>
                <w:szCs w:val="18"/>
              </w:rPr>
              <w:t>Ongoing</w:t>
            </w:r>
          </w:p>
        </w:tc>
      </w:tr>
      <w:tr w:rsidR="00A76E44" w14:paraId="5D0BB86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D44941" w14:textId="77777777" w:rsidR="00A76E44" w:rsidRDefault="00000000">
            <w:pPr>
              <w:spacing w:before="20" w:after="20"/>
            </w:pPr>
            <w:r>
              <w:rPr>
                <w:color w:val="888888"/>
              </w:rPr>
              <w:t>☐</w:t>
            </w:r>
          </w:p>
        </w:tc>
        <w:tc>
          <w:tcPr>
            <w:tcW w:w="736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B1017" w14:textId="77777777" w:rsidR="00A76E44" w:rsidRDefault="00000000">
            <w:pPr>
              <w:spacing w:before="20" w:after="6"/>
            </w:pPr>
            <w:r>
              <w:rPr>
                <w:color w:val="1A1A1A"/>
                <w:sz w:val="20"/>
                <w:szCs w:val="20"/>
              </w:rPr>
              <w:t>Identify a compliance resource or legal contact for gray areas</w:t>
            </w:r>
          </w:p>
          <w:p w14:paraId="30751527" w14:textId="77777777" w:rsidR="00A76E44" w:rsidRDefault="00000000">
            <w:pPr>
              <w:spacing w:after="20"/>
            </w:pPr>
            <w:r>
              <w:rPr>
                <w:i/>
                <w:iCs/>
                <w:color w:val="666666"/>
                <w:sz w:val="17"/>
                <w:szCs w:val="17"/>
              </w:rPr>
              <w:t>You don't need a full legal team — just one reliable external resource.</w:t>
            </w:r>
          </w:p>
        </w:tc>
        <w:tc>
          <w:tcPr>
            <w:tcW w:w="1200" w:type="dxa"/>
            <w:shd w:val="clear" w:color="auto" w:fill="E8F0F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B947FF" w14:textId="77777777" w:rsidR="00A76E44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2C5FA8"/>
                <w:sz w:val="18"/>
                <w:szCs w:val="18"/>
              </w:rPr>
              <w:t>Ongoing</w:t>
            </w:r>
          </w:p>
        </w:tc>
      </w:tr>
    </w:tbl>
    <w:p w14:paraId="25AE6585" w14:textId="77777777" w:rsidR="00A76E44" w:rsidRDefault="00A76E44">
      <w:pPr>
        <w:spacing w:before="480"/>
      </w:pPr>
    </w:p>
    <w:p w14:paraId="2E795CD5" w14:textId="6253AFE6" w:rsidR="00A76E44" w:rsidRDefault="00000000">
      <w:pPr>
        <w:pBdr>
          <w:top w:val="single" w:sz="4" w:space="0" w:color="CCCCCC"/>
        </w:pBdr>
      </w:pPr>
      <w:r>
        <w:rPr>
          <w:i/>
          <w:iCs/>
          <w:color w:val="999999"/>
          <w:sz w:val="17"/>
          <w:szCs w:val="17"/>
        </w:rPr>
        <w:t xml:space="preserve">Note: This checklist reflects requirements outlined in </w:t>
      </w:r>
      <w:proofErr w:type="spellStart"/>
      <w:r>
        <w:rPr>
          <w:i/>
          <w:iCs/>
          <w:color w:val="999999"/>
          <w:sz w:val="17"/>
          <w:szCs w:val="17"/>
        </w:rPr>
        <w:t>BizLibrary's</w:t>
      </w:r>
      <w:proofErr w:type="spellEnd"/>
      <w:r>
        <w:rPr>
          <w:i/>
          <w:iCs/>
          <w:color w:val="999999"/>
          <w:sz w:val="17"/>
          <w:szCs w:val="17"/>
        </w:rPr>
        <w:t xml:space="preserve"> </w:t>
      </w:r>
      <w:hyperlink r:id="rId7" w:history="1">
        <w:r w:rsidRPr="008E680A">
          <w:rPr>
            <w:rStyle w:val="Hyperlink"/>
            <w:i/>
            <w:iCs/>
            <w:color w:val="00AB3F"/>
            <w:sz w:val="17"/>
            <w:szCs w:val="17"/>
          </w:rPr>
          <w:t>state-specific compliance guide</w:t>
        </w:r>
      </w:hyperlink>
      <w:r>
        <w:rPr>
          <w:i/>
          <w:iCs/>
          <w:color w:val="999999"/>
          <w:sz w:val="17"/>
          <w:szCs w:val="17"/>
        </w:rPr>
        <w:t>. Regulations change frequently — always verify current requirements with your state labor department or a qualified compliance advisor.</w:t>
      </w:r>
    </w:p>
    <w:sectPr w:rsidR="00A76E44">
      <w:headerReference w:type="default" r:id="rId8"/>
      <w:foot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F1A6" w14:textId="77777777" w:rsidR="002F07F6" w:rsidRDefault="002F07F6">
      <w:r>
        <w:separator/>
      </w:r>
    </w:p>
  </w:endnote>
  <w:endnote w:type="continuationSeparator" w:id="0">
    <w:p w14:paraId="58667E25" w14:textId="77777777" w:rsidR="002F07F6" w:rsidRDefault="002F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448E" w14:textId="77777777" w:rsidR="00A76E44" w:rsidRDefault="00000000">
    <w:pPr>
      <w:pBdr>
        <w:top w:val="single" w:sz="4" w:space="0" w:color="CCCCCC"/>
      </w:pBdr>
      <w:spacing w:before="80"/>
      <w:jc w:val="right"/>
    </w:pPr>
    <w:r>
      <w:rPr>
        <w:color w:val="999999"/>
        <w:sz w:val="17"/>
        <w:szCs w:val="17"/>
      </w:rPr>
      <w:t xml:space="preserve">Source: BizLibrary   |   Page </w:t>
    </w:r>
    <w:r>
      <w:rPr>
        <w:color w:val="999999"/>
        <w:sz w:val="17"/>
        <w:szCs w:val="17"/>
      </w:rPr>
      <w:fldChar w:fldCharType="begin"/>
    </w:r>
    <w:r>
      <w:rPr>
        <w:color w:val="999999"/>
        <w:sz w:val="17"/>
        <w:szCs w:val="17"/>
      </w:rPr>
      <w:instrText>PAGE</w:instrText>
    </w:r>
    <w:r>
      <w:rPr>
        <w:color w:val="999999"/>
        <w:sz w:val="17"/>
        <w:szCs w:val="17"/>
      </w:rPr>
      <w:fldChar w:fldCharType="separate"/>
    </w:r>
    <w:r w:rsidR="008E680A">
      <w:rPr>
        <w:noProof/>
        <w:color w:val="999999"/>
        <w:sz w:val="17"/>
        <w:szCs w:val="17"/>
      </w:rPr>
      <w:t>1</w:t>
    </w:r>
    <w:r>
      <w:rPr>
        <w:color w:val="999999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944E" w14:textId="77777777" w:rsidR="002F07F6" w:rsidRDefault="002F07F6">
      <w:r>
        <w:separator/>
      </w:r>
    </w:p>
  </w:footnote>
  <w:footnote w:type="continuationSeparator" w:id="0">
    <w:p w14:paraId="0154C8E3" w14:textId="77777777" w:rsidR="002F07F6" w:rsidRDefault="002F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A5D5" w14:textId="77777777" w:rsidR="00A76E44" w:rsidRDefault="00000000">
    <w:pPr>
      <w:pBdr>
        <w:bottom w:val="single" w:sz="6" w:space="0" w:color="1F4E79"/>
      </w:pBdr>
    </w:pPr>
    <w:r w:rsidRPr="008E680A">
      <w:rPr>
        <w:b/>
        <w:bCs/>
        <w:color w:val="00AB3F"/>
        <w:sz w:val="20"/>
        <w:szCs w:val="20"/>
      </w:rPr>
      <w:t>State-Specific Compliance Training</w:t>
    </w:r>
    <w:r w:rsidRPr="008E680A">
      <w:rPr>
        <w:color w:val="00AB3F"/>
        <w:sz w:val="20"/>
        <w:szCs w:val="20"/>
      </w:rPr>
      <w:t xml:space="preserve">   </w:t>
    </w:r>
    <w:r>
      <w:rPr>
        <w:color w:val="888888"/>
        <w:sz w:val="20"/>
        <w:szCs w:val="20"/>
      </w:rPr>
      <w:t>|   Self-Audit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8669A"/>
    <w:multiLevelType w:val="hybridMultilevel"/>
    <w:tmpl w:val="BBC859E2"/>
    <w:lvl w:ilvl="0" w:tplc="B48CE432">
      <w:start w:val="1"/>
      <w:numFmt w:val="bullet"/>
      <w:lvlText w:val="●"/>
      <w:lvlJc w:val="left"/>
      <w:pPr>
        <w:ind w:left="720" w:hanging="360"/>
      </w:pPr>
    </w:lvl>
    <w:lvl w:ilvl="1" w:tplc="14C64EE2">
      <w:start w:val="1"/>
      <w:numFmt w:val="bullet"/>
      <w:lvlText w:val="○"/>
      <w:lvlJc w:val="left"/>
      <w:pPr>
        <w:ind w:left="1440" w:hanging="360"/>
      </w:pPr>
    </w:lvl>
    <w:lvl w:ilvl="2" w:tplc="B0A67D34">
      <w:start w:val="1"/>
      <w:numFmt w:val="bullet"/>
      <w:lvlText w:val="■"/>
      <w:lvlJc w:val="left"/>
      <w:pPr>
        <w:ind w:left="2160" w:hanging="360"/>
      </w:pPr>
    </w:lvl>
    <w:lvl w:ilvl="3" w:tplc="B7E8B888">
      <w:start w:val="1"/>
      <w:numFmt w:val="bullet"/>
      <w:lvlText w:val="●"/>
      <w:lvlJc w:val="left"/>
      <w:pPr>
        <w:ind w:left="2880" w:hanging="360"/>
      </w:pPr>
    </w:lvl>
    <w:lvl w:ilvl="4" w:tplc="B2B4468A">
      <w:start w:val="1"/>
      <w:numFmt w:val="bullet"/>
      <w:lvlText w:val="○"/>
      <w:lvlJc w:val="left"/>
      <w:pPr>
        <w:ind w:left="3600" w:hanging="360"/>
      </w:pPr>
    </w:lvl>
    <w:lvl w:ilvl="5" w:tplc="8BB2A516">
      <w:start w:val="1"/>
      <w:numFmt w:val="bullet"/>
      <w:lvlText w:val="■"/>
      <w:lvlJc w:val="left"/>
      <w:pPr>
        <w:ind w:left="4320" w:hanging="360"/>
      </w:pPr>
    </w:lvl>
    <w:lvl w:ilvl="6" w:tplc="C1F0CBBE">
      <w:start w:val="1"/>
      <w:numFmt w:val="bullet"/>
      <w:lvlText w:val="●"/>
      <w:lvlJc w:val="left"/>
      <w:pPr>
        <w:ind w:left="5040" w:hanging="360"/>
      </w:pPr>
    </w:lvl>
    <w:lvl w:ilvl="7" w:tplc="D43A3D88">
      <w:start w:val="1"/>
      <w:numFmt w:val="bullet"/>
      <w:lvlText w:val="●"/>
      <w:lvlJc w:val="left"/>
      <w:pPr>
        <w:ind w:left="5760" w:hanging="360"/>
      </w:pPr>
    </w:lvl>
    <w:lvl w:ilvl="8" w:tplc="01E406C2">
      <w:start w:val="1"/>
      <w:numFmt w:val="bullet"/>
      <w:lvlText w:val="●"/>
      <w:lvlJc w:val="left"/>
      <w:pPr>
        <w:ind w:left="6480" w:hanging="360"/>
      </w:pPr>
    </w:lvl>
  </w:abstractNum>
  <w:num w:numId="1" w16cid:durableId="302539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44"/>
    <w:rsid w:val="002F07F6"/>
    <w:rsid w:val="008E680A"/>
    <w:rsid w:val="00A76E44"/>
    <w:rsid w:val="00F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B183"/>
  <w15:docId w15:val="{E2B63E94-7E3D-4F1D-90E1-316D3D15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4E79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6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80A"/>
  </w:style>
  <w:style w:type="paragraph" w:styleId="Footer">
    <w:name w:val="footer"/>
    <w:basedOn w:val="Normal"/>
    <w:link w:val="FooterChar"/>
    <w:uiPriority w:val="99"/>
    <w:unhideWhenUsed/>
    <w:rsid w:val="008E6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80A"/>
  </w:style>
  <w:style w:type="character" w:styleId="UnresolvedMention">
    <w:name w:val="Unresolved Mention"/>
    <w:basedOn w:val="DefaultParagraphFont"/>
    <w:uiPriority w:val="99"/>
    <w:semiHidden/>
    <w:unhideWhenUsed/>
    <w:rsid w:val="008E6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zlibrary.com/blog/compliance-safety/state-specific-compliance-by-industry-and-st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3065</Characters>
  <Application>Microsoft Office Word</Application>
  <DocSecurity>0</DocSecurity>
  <Lines>95</Lines>
  <Paragraphs>94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Erin Weirrick</cp:lastModifiedBy>
  <cp:revision>2</cp:revision>
  <dcterms:created xsi:type="dcterms:W3CDTF">2026-03-20T18:32:00Z</dcterms:created>
  <dcterms:modified xsi:type="dcterms:W3CDTF">2026-03-20T18:32:00Z</dcterms:modified>
</cp:coreProperties>
</file>